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AC6B1" w14:textId="7663324A" w:rsidR="00F32AFE" w:rsidRDefault="006D06A5">
      <w:r>
        <w:rPr>
          <w:rFonts w:ascii="Arial" w:hAnsi="Arial" w:cs="Arial"/>
          <w:color w:val="4B4B4B"/>
          <w:sz w:val="20"/>
          <w:szCs w:val="20"/>
        </w:rPr>
        <w:t>В соответствии с приказом  министерства образования и молодёжной политики Рязанской области от 28.01.2020 №102 "Об утверждении положения о системе мониторинга качества повышения квалификации работников образования Рязанской области" мониторинг качества повышения квалификации работников образования Рязанской области проводится по следующим критериям:</w:t>
      </w:r>
      <w:r>
        <w:rPr>
          <w:rFonts w:ascii="Arial" w:hAnsi="Arial" w:cs="Arial"/>
          <w:color w:val="4B4B4B"/>
          <w:sz w:val="20"/>
          <w:szCs w:val="20"/>
        </w:rPr>
        <w:br/>
        <w:t>· доля дополнительных профессиональных программ, разработанных с учетом диагностики профессиональных дефицитов педагогов, выявленных на основе анализа результатов государственной итоговой аттестации выпускников образовательных организаций, федеральных и региональных мониторинговых исследований качества образования, результатов оценки предметных и методических компетентностей педагогов на основе единых федеральных оценочных материалов;</w:t>
      </w:r>
      <w:r>
        <w:rPr>
          <w:rFonts w:ascii="Arial" w:hAnsi="Arial" w:cs="Arial"/>
          <w:color w:val="4B4B4B"/>
          <w:sz w:val="20"/>
          <w:szCs w:val="20"/>
        </w:rPr>
        <w:br/>
        <w:t>· доля дополнительных профессиональных программ, успешно прошедших внешнюю экспертизу;</w:t>
      </w:r>
      <w:r>
        <w:rPr>
          <w:rFonts w:ascii="Arial" w:hAnsi="Arial" w:cs="Arial"/>
          <w:color w:val="4B4B4B"/>
          <w:sz w:val="20"/>
          <w:szCs w:val="20"/>
        </w:rPr>
        <w:br/>
        <w:t>· доля дополнительных профессиональных программ, разработанных с учетом специфики образовательных организаций Рязанской области;</w:t>
      </w:r>
      <w:r>
        <w:rPr>
          <w:rFonts w:ascii="Arial" w:hAnsi="Arial" w:cs="Arial"/>
          <w:color w:val="4B4B4B"/>
          <w:sz w:val="20"/>
          <w:szCs w:val="20"/>
        </w:rPr>
        <w:br/>
        <w:t>· доля дополнительных профессиональных программ, разработанных с учетом потребностей региона;</w:t>
      </w:r>
      <w:r>
        <w:rPr>
          <w:rFonts w:ascii="Arial" w:hAnsi="Arial" w:cs="Arial"/>
          <w:color w:val="4B4B4B"/>
          <w:sz w:val="20"/>
          <w:szCs w:val="20"/>
        </w:rPr>
        <w:br/>
        <w:t>· доля адресных дополнительных профессиональных программ.</w:t>
      </w:r>
    </w:p>
    <w:sectPr w:rsidR="00F3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81"/>
    <w:rsid w:val="00441081"/>
    <w:rsid w:val="006D06A5"/>
    <w:rsid w:val="00F3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A679B-E518-427B-9D72-D76C414B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Николаич</dc:creator>
  <cp:keywords/>
  <dc:description/>
  <cp:lastModifiedBy>Николаич</cp:lastModifiedBy>
  <cp:revision>2</cp:revision>
  <dcterms:created xsi:type="dcterms:W3CDTF">2020-07-09T06:04:00Z</dcterms:created>
  <dcterms:modified xsi:type="dcterms:W3CDTF">2020-07-09T06:04:00Z</dcterms:modified>
</cp:coreProperties>
</file>